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2DF2" w14:textId="37F48A1F" w:rsidR="007F3D19" w:rsidRDefault="007F3D19">
      <w:r>
        <w:t>Christian Views of the Student</w:t>
      </w:r>
    </w:p>
    <w:p w14:paraId="55C8673B" w14:textId="47809EC9" w:rsidR="00323286" w:rsidRDefault="0089306E">
      <w:r>
        <w:t xml:space="preserve">Also appeared as an </w:t>
      </w:r>
      <w:r w:rsidRPr="00B90738">
        <w:rPr>
          <w:i/>
        </w:rPr>
        <w:t>In</w:t>
      </w:r>
      <w:r>
        <w:rPr>
          <w:i/>
        </w:rPr>
        <w:t xml:space="preserve"> </w:t>
      </w:r>
      <w:r w:rsidRPr="00B90738">
        <w:rPr>
          <w:i/>
        </w:rPr>
        <w:t>All</w:t>
      </w:r>
      <w:r>
        <w:rPr>
          <w:i/>
        </w:rPr>
        <w:t xml:space="preserve"> </w:t>
      </w:r>
      <w:r w:rsidRPr="00B90738">
        <w:rPr>
          <w:i/>
        </w:rPr>
        <w:t>Things</w:t>
      </w:r>
      <w:r>
        <w:t xml:space="preserve"> </w:t>
      </w:r>
      <w:r w:rsidR="00D824EF">
        <w:t xml:space="preserve">article </w:t>
      </w:r>
      <w:r>
        <w:t>in November 2015</w:t>
      </w:r>
    </w:p>
    <w:p w14:paraId="042D15C2" w14:textId="77777777" w:rsidR="00D824EF" w:rsidRDefault="00D824EF">
      <w:r>
        <w:t>S. Holtrop</w:t>
      </w:r>
    </w:p>
    <w:p w14:paraId="50A8665A" w14:textId="77777777" w:rsidR="00D824EF" w:rsidRDefault="004B4AA5">
      <w:r>
        <w:t>10-30</w:t>
      </w:r>
      <w:r w:rsidR="00D824EF">
        <w:t>-2015</w:t>
      </w:r>
    </w:p>
    <w:p w14:paraId="275DF8CD" w14:textId="4084673D" w:rsidR="00E7579E" w:rsidRDefault="00E7579E">
      <w:r>
        <w:t>3-16-2016</w:t>
      </w:r>
    </w:p>
    <w:p w14:paraId="676B7158" w14:textId="77777777" w:rsidR="004B4AA5" w:rsidRDefault="004B4AA5" w:rsidP="00D824EF"/>
    <w:p w14:paraId="2F536963" w14:textId="561385E5" w:rsidR="006A5338" w:rsidRDefault="006A5338" w:rsidP="00D824EF">
      <w:r>
        <w:t xml:space="preserve">Teachers often get asked, “What do you teach?”  That question is often answered with a focus on curriculum (e.g., reading, math, or nuclear physics).  But many </w:t>
      </w:r>
      <w:r w:rsidR="0089306E">
        <w:t xml:space="preserve">other </w:t>
      </w:r>
      <w:r>
        <w:t>teachers answer, “I teach students” (e.g., 3</w:t>
      </w:r>
      <w:r w:rsidRPr="00030AE0">
        <w:rPr>
          <w:vertAlign w:val="superscript"/>
        </w:rPr>
        <w:t>rd</w:t>
      </w:r>
      <w:r>
        <w:t xml:space="preserve"> grade, middle school, or college).  I think there’s been a shift in the field of education toward an increasing focus on the student over the last few generations.  Instead of focusing first on what to cover in our classes, we’re shifting toward what students need to learn.</w:t>
      </w:r>
      <w:r w:rsidR="0089306E">
        <w:t xml:space="preserve">  This general shift is reflected in the different secular views as well as the different Christian views discussed below.  </w:t>
      </w:r>
    </w:p>
    <w:p w14:paraId="32795CB6" w14:textId="77777777" w:rsidR="00E7579E" w:rsidRDefault="00E7579E" w:rsidP="00D824EF"/>
    <w:p w14:paraId="6091C572" w14:textId="77777777" w:rsidR="006A5338" w:rsidRDefault="006A5338" w:rsidP="00D824EF">
      <w:r>
        <w:t>Secular View #1</w:t>
      </w:r>
    </w:p>
    <w:p w14:paraId="0955A0DB" w14:textId="4077C316" w:rsidR="006A5338" w:rsidRDefault="006A5338" w:rsidP="00D824EF">
      <w:r>
        <w:t xml:space="preserve">This approach to students focuses on what </w:t>
      </w:r>
      <w:r w:rsidR="0089306E">
        <w:t xml:space="preserve">is good for </w:t>
      </w:r>
      <w:r w:rsidR="00AB73EC">
        <w:t>“the group”</w:t>
      </w:r>
      <w:r w:rsidR="0089306E">
        <w:t xml:space="preserve"> – what the group</w:t>
      </w:r>
      <w:r w:rsidR="00AB73EC">
        <w:t xml:space="preserve"> </w:t>
      </w:r>
      <w:r>
        <w:t xml:space="preserve">needs students to know and be able to do.  The business community weighs in with its expectations for basic unskilled </w:t>
      </w:r>
      <w:r w:rsidR="00AB73EC">
        <w:t>worker</w:t>
      </w:r>
      <w:r w:rsidR="0089306E">
        <w:t>s</w:t>
      </w:r>
      <w:r w:rsidR="00AB73EC">
        <w:t xml:space="preserve"> as well as </w:t>
      </w:r>
      <w:r>
        <w:t>its hopes regardin</w:t>
      </w:r>
      <w:r w:rsidR="0089306E">
        <w:t>g a spectrum of future employee skill levels</w:t>
      </w:r>
      <w:r>
        <w:t xml:space="preserve"> in terms of communication skills, people skills, and problem-solving skill</w:t>
      </w:r>
      <w:r w:rsidR="0089306E">
        <w:t xml:space="preserve">s.  Civic leaders weigh in, wanting </w:t>
      </w:r>
      <w:r>
        <w:t xml:space="preserve">informed voters, community volunteers, and future civic leaders.  </w:t>
      </w:r>
      <w:r w:rsidR="0089306E">
        <w:t>And f</w:t>
      </w:r>
      <w:r w:rsidR="00AB73EC">
        <w:t xml:space="preserve">amilies weigh in with what they want their kids to know and be able to do (and value).  The more powerful families may reinforce their expectations with tuition dollars for non-public schools or with political clout regarding magnet or charter schools to help address their specific needs.  So the student for all these constituencies is viewed as part of a larger group (family, community, society) that wants something </w:t>
      </w:r>
      <w:r w:rsidR="0089306E">
        <w:t xml:space="preserve">to be </w:t>
      </w:r>
      <w:r w:rsidR="00AB73EC">
        <w:t xml:space="preserve">provided by the school.  </w:t>
      </w:r>
    </w:p>
    <w:p w14:paraId="74E68BE1" w14:textId="77777777" w:rsidR="00E7579E" w:rsidRDefault="00E7579E" w:rsidP="00D824EF"/>
    <w:p w14:paraId="54F2D127" w14:textId="77777777" w:rsidR="006A5338" w:rsidRDefault="006A5338" w:rsidP="00D824EF">
      <w:r>
        <w:t>Secular View #2</w:t>
      </w:r>
    </w:p>
    <w:p w14:paraId="500489E8" w14:textId="4AA056FE" w:rsidR="00AB73EC" w:rsidRDefault="00AB73EC" w:rsidP="00D824EF">
      <w:r>
        <w:t xml:space="preserve">This view focuses more on the individual student rather than the student as part of a group that needs something from the school.  So this view looks at what the school can provide to the </w:t>
      </w:r>
      <w:r w:rsidRPr="006A772F">
        <w:rPr>
          <w:i/>
        </w:rPr>
        <w:t>individual student</w:t>
      </w:r>
      <w:r>
        <w:t xml:space="preserve">.  </w:t>
      </w:r>
      <w:r w:rsidR="0089306E">
        <w:t xml:space="preserve">With the rise of progressivism, the view puts </w:t>
      </w:r>
      <w:r>
        <w:t xml:space="preserve">more emphasis on curricular options such as athletics, the arts, foreign languages, and different levels of math and science that students with different interests and abilities can opt into or out of.  Choice, learning styles, interests, electives, special needs, </w:t>
      </w:r>
      <w:r w:rsidR="00E7579E">
        <w:t>and extra</w:t>
      </w:r>
      <w:r>
        <w:t xml:space="preserve"> challenges – these concepts are more at home with this second view of the student.  </w:t>
      </w:r>
      <w:r w:rsidR="00E7579E">
        <w:t xml:space="preserve">This view tends to </w:t>
      </w:r>
      <w:r w:rsidR="0089306E">
        <w:t>downplay</w:t>
      </w:r>
      <w:r w:rsidR="00E7579E">
        <w:t xml:space="preserve"> society and group needs just as much as the first group seems </w:t>
      </w:r>
      <w:r w:rsidR="0089306E">
        <w:t>quiet</w:t>
      </w:r>
      <w:r w:rsidR="00E7579E">
        <w:t xml:space="preserve"> on individual students’ needs.  </w:t>
      </w:r>
    </w:p>
    <w:p w14:paraId="4B9127CE" w14:textId="77777777" w:rsidR="00E7579E" w:rsidRDefault="00E7579E" w:rsidP="00D824EF"/>
    <w:p w14:paraId="04361A1B" w14:textId="77777777" w:rsidR="0089306E" w:rsidRDefault="0089306E" w:rsidP="00D824EF"/>
    <w:p w14:paraId="1CFA841E" w14:textId="77777777" w:rsidR="006A5338" w:rsidRDefault="006A5338" w:rsidP="00D824EF">
      <w:r>
        <w:lastRenderedPageBreak/>
        <w:t>Christian Views of the Student</w:t>
      </w:r>
    </w:p>
    <w:p w14:paraId="1FE83754" w14:textId="4527EB03" w:rsidR="00030AE0" w:rsidRDefault="00E7579E" w:rsidP="00D824EF">
      <w:r>
        <w:t>The shift mentioned above from focusing more on the curriculum to focusing more on the student is overall a good development in education</w:t>
      </w:r>
      <w:r w:rsidR="00D500E1">
        <w:t xml:space="preserve">, but </w:t>
      </w:r>
      <w:r w:rsidR="00BB6A50">
        <w:t xml:space="preserve">the </w:t>
      </w:r>
      <w:r w:rsidR="002B4AD7">
        <w:t xml:space="preserve">underlying </w:t>
      </w:r>
      <w:r w:rsidR="00AC2406">
        <w:t xml:space="preserve">philosophies </w:t>
      </w:r>
      <w:r w:rsidR="00030AE0">
        <w:t>associated with this shift can have decidedly unbiblical assumptions.</w:t>
      </w:r>
      <w:r w:rsidR="00013A0F">
        <w:rPr>
          <w:rStyle w:val="FootnoteReference"/>
        </w:rPr>
        <w:footnoteReference w:id="1"/>
      </w:r>
      <w:r w:rsidR="00030AE0">
        <w:t xml:space="preserve">  On the other hand, s</w:t>
      </w:r>
      <w:r w:rsidR="00950A3B">
        <w:t xml:space="preserve">ome of the </w:t>
      </w:r>
      <w:r w:rsidR="00950A3B" w:rsidRPr="00AC2406">
        <w:rPr>
          <w:i/>
        </w:rPr>
        <w:t>curriculum</w:t>
      </w:r>
      <w:r w:rsidR="00950A3B">
        <w:t xml:space="preserve">-centered </w:t>
      </w:r>
      <w:r w:rsidR="00950A3B" w:rsidRPr="00E7579E">
        <w:rPr>
          <w:i/>
        </w:rPr>
        <w:t>-</w:t>
      </w:r>
      <w:r w:rsidR="00030AE0" w:rsidRPr="00E7579E">
        <w:rPr>
          <w:i/>
        </w:rPr>
        <w:t>isms</w:t>
      </w:r>
      <w:r w:rsidR="00030AE0">
        <w:t xml:space="preserve"> aren’t all that biblical</w:t>
      </w:r>
      <w:r w:rsidR="00AC2406">
        <w:t>ly-based</w:t>
      </w:r>
      <w:r w:rsidR="00030AE0">
        <w:t xml:space="preserve"> either</w:t>
      </w:r>
      <w:r w:rsidR="00013A0F">
        <w:rPr>
          <w:rStyle w:val="FootnoteReference"/>
        </w:rPr>
        <w:footnoteReference w:id="2"/>
      </w:r>
      <w:r w:rsidR="00030AE0">
        <w:t xml:space="preserve">.  </w:t>
      </w:r>
      <w:r w:rsidR="00D500E1">
        <w:t>Because</w:t>
      </w:r>
      <w:r w:rsidR="00030AE0">
        <w:t xml:space="preserve"> we are very influenced by the </w:t>
      </w:r>
      <w:r w:rsidR="006704E5">
        <w:t>philosophies</w:t>
      </w:r>
      <w:r w:rsidR="00030AE0">
        <w:t xml:space="preserve"> of our age, we need to critically examine </w:t>
      </w:r>
      <w:r w:rsidR="00123F76">
        <w:t xml:space="preserve">these </w:t>
      </w:r>
      <w:r w:rsidR="00013A0F">
        <w:t>–</w:t>
      </w:r>
      <w:r w:rsidR="00123F76" w:rsidRPr="00E7579E">
        <w:rPr>
          <w:i/>
        </w:rPr>
        <w:t>isms</w:t>
      </w:r>
      <w:r w:rsidR="00123F76">
        <w:t xml:space="preserve"> through a biblical lens and decide </w:t>
      </w:r>
      <w:r w:rsidR="00950A3B">
        <w:t>with the Spirit’s leading what our view of the student should be</w:t>
      </w:r>
      <w:r w:rsidR="00123F76">
        <w:t xml:space="preserve">.  </w:t>
      </w:r>
    </w:p>
    <w:p w14:paraId="740954D6" w14:textId="3B63AA51" w:rsidR="00B24350" w:rsidRDefault="00BE2DD8" w:rsidP="00D824EF">
      <w:r>
        <w:t>Christians don’t all agree on the best way to f</w:t>
      </w:r>
      <w:r w:rsidR="00B24350">
        <w:t>ram</w:t>
      </w:r>
      <w:r>
        <w:t>e</w:t>
      </w:r>
      <w:r w:rsidR="00B24350">
        <w:t xml:space="preserve"> a specifically Christian view of the student</w:t>
      </w:r>
      <w:r w:rsidR="002B4AD7">
        <w:t xml:space="preserve"> that doesn’t just blindly accept some of these cultural assumptions</w:t>
      </w:r>
      <w:r>
        <w:t>.</w:t>
      </w:r>
      <w:r w:rsidR="00B24350">
        <w:t xml:space="preserve"> </w:t>
      </w:r>
      <w:r>
        <w:t>Drawing on Niebuhr’s idea that there are various ways Christians have conceptualized the relationship between Christ and culture, l</w:t>
      </w:r>
      <w:r w:rsidR="00B24350">
        <w:t xml:space="preserve">et me outline three </w:t>
      </w:r>
      <w:r w:rsidR="008F07C2">
        <w:t>biblically-informed</w:t>
      </w:r>
      <w:r w:rsidR="00B24350">
        <w:t xml:space="preserve"> ways </w:t>
      </w:r>
      <w:r w:rsidR="007F3D19">
        <w:t xml:space="preserve">that </w:t>
      </w:r>
      <w:r w:rsidR="00B24350">
        <w:t xml:space="preserve">Christians have </w:t>
      </w:r>
      <w:r w:rsidR="00AC2406">
        <w:t>come to view</w:t>
      </w:r>
      <w:r w:rsidR="00B24350">
        <w:t xml:space="preserve"> the </w:t>
      </w:r>
      <w:r w:rsidR="00D500E1">
        <w:t xml:space="preserve">young </w:t>
      </w:r>
      <w:r w:rsidR="00B24350">
        <w:t xml:space="preserve">humans sitting in our classrooms.  </w:t>
      </w:r>
    </w:p>
    <w:p w14:paraId="1AB0E76D" w14:textId="77777777" w:rsidR="00E7579E" w:rsidRDefault="00E7579E" w:rsidP="00D824EF"/>
    <w:p w14:paraId="2999493F" w14:textId="77777777" w:rsidR="00743FAE" w:rsidRDefault="00743FAE" w:rsidP="00D824EF">
      <w:r>
        <w:t>Christian View #1</w:t>
      </w:r>
    </w:p>
    <w:p w14:paraId="2508840A" w14:textId="35FEF8D4" w:rsidR="00AC2406" w:rsidRDefault="00B24350" w:rsidP="00D824EF">
      <w:r>
        <w:t xml:space="preserve">First, there’s the </w:t>
      </w:r>
      <w:r w:rsidRPr="007F3D19">
        <w:rPr>
          <w:i/>
        </w:rPr>
        <w:t>Christianity-against-</w:t>
      </w:r>
      <w:r w:rsidR="00BB6A50" w:rsidRPr="007F3D19">
        <w:rPr>
          <w:i/>
        </w:rPr>
        <w:t>C</w:t>
      </w:r>
      <w:r w:rsidRPr="007F3D19">
        <w:rPr>
          <w:i/>
        </w:rPr>
        <w:t>ulture</w:t>
      </w:r>
      <w:r>
        <w:t xml:space="preserve"> frame.  This framework may view the student primarily as a sinner i</w:t>
      </w:r>
      <w:r w:rsidR="00BF5A9F">
        <w:t>n need of correction</w:t>
      </w:r>
      <w:r>
        <w:t xml:space="preserve">.  </w:t>
      </w:r>
      <w:r w:rsidR="00AC2406">
        <w:t>This framework also views the</w:t>
      </w:r>
      <w:r>
        <w:t xml:space="preserve"> wider culture</w:t>
      </w:r>
      <w:r w:rsidR="00263C4B">
        <w:t xml:space="preserve"> as</w:t>
      </w:r>
      <w:r>
        <w:t xml:space="preserve"> </w:t>
      </w:r>
      <w:r w:rsidR="00AC2406">
        <w:t xml:space="preserve">mostly </w:t>
      </w:r>
      <w:r w:rsidR="00D500E1">
        <w:t>dangerous</w:t>
      </w:r>
      <w:r w:rsidR="00AC2406">
        <w:t xml:space="preserve"> and fraught with sin.  So educational </w:t>
      </w:r>
      <w:r w:rsidR="007F3D19">
        <w:t>decisions about</w:t>
      </w:r>
      <w:r w:rsidR="00BA570E">
        <w:t xml:space="preserve"> </w:t>
      </w:r>
      <w:r>
        <w:t xml:space="preserve">adolescent literature, </w:t>
      </w:r>
      <w:r w:rsidR="007F3D19">
        <w:t xml:space="preserve">for example, or </w:t>
      </w:r>
      <w:r w:rsidR="00AC2406">
        <w:t>school</w:t>
      </w:r>
      <w:r>
        <w:t xml:space="preserve"> dances, self-esteem teaching, </w:t>
      </w:r>
      <w:r w:rsidR="00263C4B">
        <w:t xml:space="preserve">and even </w:t>
      </w:r>
      <w:r w:rsidR="00BA570E">
        <w:t xml:space="preserve">block scheduling </w:t>
      </w:r>
      <w:r>
        <w:t xml:space="preserve">may all </w:t>
      </w:r>
      <w:r w:rsidR="0089306E">
        <w:t>raise objections</w:t>
      </w:r>
      <w:r>
        <w:t xml:space="preserve"> </w:t>
      </w:r>
      <w:r w:rsidR="00263C4B">
        <w:t>for</w:t>
      </w:r>
      <w:r>
        <w:t xml:space="preserve"> </w:t>
      </w:r>
      <w:r w:rsidR="00BA570E">
        <w:t>people using this frame</w:t>
      </w:r>
      <w:r>
        <w:t xml:space="preserve">.  This </w:t>
      </w:r>
      <w:r w:rsidR="007F3D19">
        <w:t xml:space="preserve">sin-focused </w:t>
      </w:r>
      <w:r>
        <w:t xml:space="preserve">tendency </w:t>
      </w:r>
      <w:r w:rsidR="00D500E1">
        <w:t>shows up in</w:t>
      </w:r>
      <w:r>
        <w:t xml:space="preserve"> early Puritan education in the colonies and puts a large emphasis on the total depravity of humans.  Rules and punishments </w:t>
      </w:r>
      <w:r w:rsidR="00611AE1">
        <w:t xml:space="preserve">back then </w:t>
      </w:r>
      <w:r>
        <w:t>were pretty harsh</w:t>
      </w:r>
      <w:r w:rsidR="00D500E1">
        <w:t xml:space="preserve"> by today’s standards</w:t>
      </w:r>
      <w:r>
        <w:t xml:space="preserve"> because they were seen as ways to put a needed box around students’ </w:t>
      </w:r>
      <w:r w:rsidR="00BB6A50">
        <w:t xml:space="preserve">natural </w:t>
      </w:r>
      <w:r w:rsidR="0089306E">
        <w:t xml:space="preserve">depravity, but there is still a </w:t>
      </w:r>
      <w:r w:rsidR="0020342E">
        <w:t xml:space="preserve">sense among many educators that since humans are prone to sin, students should be tightly controlled.  </w:t>
      </w:r>
      <w:r>
        <w:t xml:space="preserve">  </w:t>
      </w:r>
    </w:p>
    <w:p w14:paraId="0A43280A" w14:textId="77777777" w:rsidR="0020342E" w:rsidRDefault="0020342E" w:rsidP="00D824EF">
      <w:r>
        <w:t>Teachers thinking in this frame may see their primary role as an enforcer of needed rules.  Some Christian parenting and teaching experts in recent generations (e.g., James Dobson) have emphasized the need for adults to stand quite firm when children and adolescents go through their flailing-around stages.  Others have labeled this more authoritarian approach “the brick wall” approach.</w:t>
      </w:r>
      <w:r>
        <w:rPr>
          <w:rStyle w:val="FootnoteReference"/>
        </w:rPr>
        <w:footnoteReference w:id="3"/>
      </w:r>
      <w:r>
        <w:t xml:space="preserve">  </w:t>
      </w:r>
    </w:p>
    <w:p w14:paraId="52BE357E" w14:textId="0478A515" w:rsidR="00B24350" w:rsidRPr="004B37F6" w:rsidRDefault="00B24350" w:rsidP="00D824EF">
      <w:pPr>
        <w:rPr>
          <w:color w:val="FF0000"/>
        </w:rPr>
      </w:pPr>
      <w:r>
        <w:t>More recently, Christian parents using this kind of frame</w:t>
      </w:r>
      <w:r w:rsidR="00611AE1">
        <w:t>work</w:t>
      </w:r>
      <w:r>
        <w:t xml:space="preserve"> might ask their children to excuse themselves from reading certain novels in class or they may opt to homeschool their children in order to avoid the cultural depravity they perceive in the schools.  </w:t>
      </w:r>
      <w:r w:rsidR="0020342E">
        <w:t xml:space="preserve">This shifts the focus to the sinfulness of the culture and the educational establishment more than the sinfulness of the child, but it’s still a very sin-focused approach to education.  </w:t>
      </w:r>
    </w:p>
    <w:p w14:paraId="0FAAEF0E" w14:textId="77777777" w:rsidR="00E7579E" w:rsidRDefault="00E7579E" w:rsidP="00D824EF"/>
    <w:p w14:paraId="7A59968E" w14:textId="77777777" w:rsidR="0020342E" w:rsidRDefault="0020342E">
      <w:r>
        <w:br w:type="page"/>
      </w:r>
    </w:p>
    <w:p w14:paraId="0BCAAC44" w14:textId="2361CF47" w:rsidR="00743FAE" w:rsidRDefault="00743FAE" w:rsidP="00D824EF">
      <w:r>
        <w:t>Christian View #2</w:t>
      </w:r>
    </w:p>
    <w:p w14:paraId="1EB458DE" w14:textId="59F1B587" w:rsidR="00263C4B" w:rsidRDefault="00263C4B" w:rsidP="00D824EF">
      <w:r>
        <w:t xml:space="preserve">On the other </w:t>
      </w:r>
      <w:r w:rsidR="00F44AA9">
        <w:t>side</w:t>
      </w:r>
      <w:r>
        <w:t xml:space="preserve"> of the spectrum is a kind of </w:t>
      </w:r>
      <w:r w:rsidRPr="007F3D19">
        <w:rPr>
          <w:i/>
        </w:rPr>
        <w:t>Christianity-Embracing-Culture</w:t>
      </w:r>
      <w:r>
        <w:t xml:space="preserve"> framework.  This perspective may </w:t>
      </w:r>
      <w:r w:rsidR="00D500E1">
        <w:t xml:space="preserve">start with the concept of </w:t>
      </w:r>
      <w:r>
        <w:t>the student as made in the image of God and therefore full</w:t>
      </w:r>
      <w:r w:rsidR="002B4AD7">
        <w:t xml:space="preserve"> of creativity and potential.  For example, s</w:t>
      </w:r>
      <w:r>
        <w:t xml:space="preserve">ince the wider culture </w:t>
      </w:r>
      <w:r w:rsidR="002B4AD7">
        <w:t>offers</w:t>
      </w:r>
      <w:r>
        <w:t xml:space="preserve"> so much </w:t>
      </w:r>
      <w:r w:rsidR="002B4AD7">
        <w:t>inspiration</w:t>
      </w:r>
      <w:r>
        <w:t xml:space="preserve"> and opportunity to kids today – “the world’s your oyster”—the school should be doing whatever it can to expose kids to wonderful new areas of knowledge and creative expression.  This perspective </w:t>
      </w:r>
      <w:r w:rsidR="00D500E1">
        <w:t>may emphasize</w:t>
      </w:r>
      <w:r>
        <w:t xml:space="preserve"> sweeping away </w:t>
      </w:r>
      <w:r w:rsidR="002B4AD7">
        <w:t>any</w:t>
      </w:r>
      <w:r>
        <w:t xml:space="preserve"> impediments to creativity </w:t>
      </w:r>
      <w:r w:rsidR="0020342E">
        <w:t xml:space="preserve">(like boring textbooks and stifling educational structures) </w:t>
      </w:r>
      <w:r>
        <w:t xml:space="preserve">and awakening in each child the wonder of creation and the various </w:t>
      </w:r>
      <w:r w:rsidR="0026799E">
        <w:t>opportunities</w:t>
      </w:r>
      <w:r>
        <w:t xml:space="preserve"> available to young </w:t>
      </w:r>
      <w:r w:rsidR="00D500E1">
        <w:t>people</w:t>
      </w:r>
      <w:r>
        <w:t xml:space="preserve"> today.  </w:t>
      </w:r>
      <w:r w:rsidR="00F44AA9">
        <w:t>Some</w:t>
      </w:r>
      <w:r w:rsidR="00A66745">
        <w:t xml:space="preserve"> recent i</w:t>
      </w:r>
      <w:r>
        <w:t xml:space="preserve">nnovations in curriculum and </w:t>
      </w:r>
      <w:r w:rsidR="009E200B">
        <w:t xml:space="preserve">teaching </w:t>
      </w:r>
      <w:r>
        <w:t>methods, school schedules, and assessment</w:t>
      </w:r>
      <w:r w:rsidR="009E200B">
        <w:t xml:space="preserve"> of student learning</w:t>
      </w:r>
      <w:r>
        <w:t xml:space="preserve"> seem to fit tidily with this framework.  </w:t>
      </w:r>
      <w:r w:rsidR="006010C6">
        <w:t>However, t</w:t>
      </w:r>
      <w:r w:rsidR="0072795F">
        <w:t>his</w:t>
      </w:r>
      <w:r w:rsidR="00E21B8B">
        <w:t xml:space="preserve"> </w:t>
      </w:r>
      <w:r w:rsidR="0026799E">
        <w:t xml:space="preserve">embracing-culture </w:t>
      </w:r>
      <w:r w:rsidR="00E21B8B">
        <w:t>approach may tend towar</w:t>
      </w:r>
      <w:r w:rsidR="00BB6A50">
        <w:t xml:space="preserve">d </w:t>
      </w:r>
      <w:r w:rsidR="0072795F">
        <w:t xml:space="preserve">a </w:t>
      </w:r>
      <w:r w:rsidR="00BB6A50">
        <w:t>permissiveness</w:t>
      </w:r>
      <w:r w:rsidR="0072795F">
        <w:t xml:space="preserve"> in teachers</w:t>
      </w:r>
      <w:r w:rsidR="00BB6A50">
        <w:t xml:space="preserve">, or what </w:t>
      </w:r>
      <w:r w:rsidR="0072795F">
        <w:t>Coloroso calls</w:t>
      </w:r>
      <w:r w:rsidR="00BB6A50">
        <w:t xml:space="preserve"> the </w:t>
      </w:r>
      <w:r w:rsidR="00AC2406">
        <w:t>“</w:t>
      </w:r>
      <w:r w:rsidR="00BB6A50">
        <w:t>jelly-fish</w:t>
      </w:r>
      <w:r w:rsidR="00AC2406">
        <w:t>”</w:t>
      </w:r>
      <w:r w:rsidR="00BB6A50">
        <w:t xml:space="preserve"> approach</w:t>
      </w:r>
      <w:r w:rsidR="0072795F">
        <w:t>.</w:t>
      </w:r>
    </w:p>
    <w:p w14:paraId="2BA1B73E" w14:textId="77777777" w:rsidR="00E7579E" w:rsidRDefault="00E7579E" w:rsidP="00D824EF"/>
    <w:p w14:paraId="6393E463" w14:textId="77777777" w:rsidR="006A5338" w:rsidRDefault="006A5338" w:rsidP="00D824EF">
      <w:r>
        <w:t>Christian View #3</w:t>
      </w:r>
    </w:p>
    <w:p w14:paraId="07C20615" w14:textId="047FD64B" w:rsidR="005D7CEA" w:rsidRDefault="00A66745" w:rsidP="00D824EF">
      <w:r>
        <w:t xml:space="preserve">Finally, a third framework can be generated from a </w:t>
      </w:r>
      <w:r w:rsidRPr="007F3D19">
        <w:rPr>
          <w:i/>
        </w:rPr>
        <w:t>Christ-Transforming-Culture</w:t>
      </w:r>
      <w:r>
        <w:t xml:space="preserve"> </w:t>
      </w:r>
      <w:r w:rsidR="00AC2406">
        <w:t>framework</w:t>
      </w:r>
      <w:r>
        <w:t xml:space="preserve">.  This frame may acknowledge </w:t>
      </w:r>
      <w:r w:rsidRPr="004B0840">
        <w:rPr>
          <w:i/>
        </w:rPr>
        <w:t>both</w:t>
      </w:r>
      <w:r>
        <w:t xml:space="preserve"> the sinful nature and the boundless God-given </w:t>
      </w:r>
      <w:r w:rsidR="006010C6">
        <w:t>potential</w:t>
      </w:r>
      <w:r>
        <w:t xml:space="preserve"> of the young student and seek ways to design the </w:t>
      </w:r>
      <w:r w:rsidR="006010C6">
        <w:t>curriculum</w:t>
      </w:r>
      <w:r>
        <w:t xml:space="preserve"> in ways that pro</w:t>
      </w:r>
      <w:r w:rsidR="0026799E">
        <w:t>vide structure</w:t>
      </w:r>
      <w:r w:rsidR="0084424C">
        <w:t xml:space="preserve"> </w:t>
      </w:r>
      <w:r w:rsidR="0072795F">
        <w:t>to maximize growth</w:t>
      </w:r>
      <w:r w:rsidR="00771A60">
        <w:t>.</w:t>
      </w:r>
      <w:r w:rsidR="00771A60">
        <w:rPr>
          <w:rStyle w:val="FootnoteReference"/>
        </w:rPr>
        <w:footnoteReference w:id="4"/>
      </w:r>
      <w:r w:rsidR="009E200B">
        <w:t xml:space="preserve"> This frame focuses on providing positive </w:t>
      </w:r>
      <w:r w:rsidR="00BB6A50">
        <w:t>motivation</w:t>
      </w:r>
      <w:r>
        <w:t xml:space="preserve"> and </w:t>
      </w:r>
      <w:r w:rsidR="006010C6">
        <w:t>opportunity</w:t>
      </w:r>
      <w:r w:rsidR="00BB6A50">
        <w:t xml:space="preserve"> for </w:t>
      </w:r>
      <w:r>
        <w:t xml:space="preserve">application </w:t>
      </w:r>
      <w:r w:rsidR="006A5338">
        <w:t xml:space="preserve">of learning </w:t>
      </w:r>
      <w:r>
        <w:t>(</w:t>
      </w:r>
      <w:r w:rsidR="006A5338">
        <w:t xml:space="preserve">which is </w:t>
      </w:r>
      <w:r>
        <w:t xml:space="preserve">a </w:t>
      </w:r>
      <w:r w:rsidR="0072795F">
        <w:t>type</w:t>
      </w:r>
      <w:r>
        <w:t xml:space="preserve"> </w:t>
      </w:r>
      <w:r w:rsidR="009E200B">
        <w:t xml:space="preserve">of </w:t>
      </w:r>
      <w:r>
        <w:t>“higher level thinking”</w:t>
      </w:r>
      <w:r w:rsidR="003705C6">
        <w:t xml:space="preserve"> on Bloom’s Taxonomy</w:t>
      </w:r>
      <w:r>
        <w:t>)</w:t>
      </w:r>
      <w:r w:rsidR="004B0840">
        <w:t>.  By providing such structure and motivation</w:t>
      </w:r>
      <w:r w:rsidR="00F44AA9">
        <w:t xml:space="preserve"> (through an authoritative</w:t>
      </w:r>
      <w:r w:rsidR="0072795F">
        <w:t xml:space="preserve"> </w:t>
      </w:r>
      <w:r w:rsidR="00F44AA9">
        <w:t xml:space="preserve">stance </w:t>
      </w:r>
      <w:r w:rsidR="00771A60">
        <w:t xml:space="preserve">that Coloroso </w:t>
      </w:r>
      <w:r w:rsidR="00F44AA9">
        <w:t>call</w:t>
      </w:r>
      <w:r w:rsidR="00771A60">
        <w:t>s</w:t>
      </w:r>
      <w:r w:rsidR="00F44AA9">
        <w:t xml:space="preserve"> “backbone”)</w:t>
      </w:r>
      <w:r w:rsidR="004B0840">
        <w:t xml:space="preserve">, this kind of </w:t>
      </w:r>
      <w:r w:rsidR="003705C6">
        <w:t xml:space="preserve">learning </w:t>
      </w:r>
      <w:r w:rsidR="004B0840">
        <w:t xml:space="preserve">design can </w:t>
      </w:r>
      <w:r w:rsidR="006010C6">
        <w:t xml:space="preserve">help </w:t>
      </w:r>
      <w:r w:rsidR="005D7CEA">
        <w:t>move a student toward</w:t>
      </w:r>
      <w:r w:rsidR="004B0840">
        <w:t xml:space="preserve"> </w:t>
      </w:r>
      <w:r>
        <w:t>freedom from the bondage of sinful tendencies (</w:t>
      </w:r>
      <w:r w:rsidR="003705C6">
        <w:t>such as</w:t>
      </w:r>
      <w:r>
        <w:t xml:space="preserve"> lack of self-discipline) </w:t>
      </w:r>
      <w:r w:rsidR="0072795F">
        <w:t>and provide</w:t>
      </w:r>
      <w:r>
        <w:t xml:space="preserve"> </w:t>
      </w:r>
      <w:r w:rsidR="004B0840">
        <w:t xml:space="preserve">an opportunity to work toward personal responsibility-building and </w:t>
      </w:r>
      <w:r w:rsidR="002B53AD">
        <w:t xml:space="preserve">cultural </w:t>
      </w:r>
      <w:r w:rsidR="004B0840">
        <w:t>Shalom-building</w:t>
      </w:r>
      <w:r w:rsidR="00771A60">
        <w:t>.</w:t>
      </w:r>
      <w:r w:rsidR="00771A60">
        <w:rPr>
          <w:rStyle w:val="FootnoteReference"/>
        </w:rPr>
        <w:footnoteReference w:id="5"/>
      </w:r>
      <w:r w:rsidR="004B0840">
        <w:t xml:space="preserve"> </w:t>
      </w:r>
    </w:p>
    <w:p w14:paraId="39700768" w14:textId="4BCD2005" w:rsidR="003F6783" w:rsidRDefault="004B0840" w:rsidP="003F6783">
      <w:r>
        <w:t xml:space="preserve">The Christian teacher does not know </w:t>
      </w:r>
      <w:r w:rsidR="002B53AD">
        <w:t xml:space="preserve">exactly </w:t>
      </w:r>
      <w:r>
        <w:t xml:space="preserve">what the Lord has in store for each student, but </w:t>
      </w:r>
      <w:r w:rsidR="002B53AD">
        <w:t>a</w:t>
      </w:r>
      <w:r>
        <w:t xml:space="preserve"> teacher </w:t>
      </w:r>
      <w:r w:rsidR="002B53AD">
        <w:t>with this</w:t>
      </w:r>
      <w:r w:rsidR="00BF5A9F">
        <w:t xml:space="preserve"> third</w:t>
      </w:r>
      <w:r w:rsidR="002B53AD">
        <w:t xml:space="preserve"> frame of reference </w:t>
      </w:r>
      <w:r>
        <w:t xml:space="preserve">views each student as someone with a </w:t>
      </w:r>
      <w:r w:rsidR="006A5338">
        <w:t>God-ordained</w:t>
      </w:r>
      <w:r w:rsidR="005D7CEA">
        <w:t xml:space="preserve"> </w:t>
      </w:r>
      <w:r>
        <w:t>tr</w:t>
      </w:r>
      <w:r w:rsidR="006010C6">
        <w:t>ansformative purpose</w:t>
      </w:r>
      <w:r>
        <w:t xml:space="preserve">, still to be realized, but awesome and </w:t>
      </w:r>
      <w:r w:rsidR="005D7CEA">
        <w:t>important in the kingdom</w:t>
      </w:r>
      <w:r w:rsidR="0020342E">
        <w:t>.  Educational g</w:t>
      </w:r>
      <w:bookmarkStart w:id="0" w:name="_GoBack"/>
      <w:bookmarkEnd w:id="0"/>
      <w:r w:rsidR="009E200B">
        <w:t>oals such as t</w:t>
      </w:r>
      <w:r>
        <w:t>eaching for justice, teaching for Shalom, responsibility teaching, citizenship training, vocational training</w:t>
      </w:r>
      <w:r w:rsidR="005D7CEA">
        <w:t>, even self-actualization</w:t>
      </w:r>
      <w:r>
        <w:t xml:space="preserve"> – these can all be </w:t>
      </w:r>
      <w:r w:rsidRPr="0026799E">
        <w:rPr>
          <w:i/>
        </w:rPr>
        <w:t>aspects</w:t>
      </w:r>
      <w:r>
        <w:t xml:space="preserve"> of the educational task</w:t>
      </w:r>
      <w:r w:rsidR="005D7CEA">
        <w:t xml:space="preserve"> when it’s framed this way</w:t>
      </w:r>
      <w:r>
        <w:t xml:space="preserve">.  </w:t>
      </w:r>
      <w:r w:rsidR="004B4AA5">
        <w:t xml:space="preserve">As </w:t>
      </w:r>
      <w:r w:rsidR="00771A60">
        <w:t xml:space="preserve">James K.A. </w:t>
      </w:r>
      <w:r w:rsidR="004B4AA5">
        <w:t>Smith (2009) says, we’re not just informing students, we’re helping to form them.</w:t>
      </w:r>
      <w:r w:rsidR="00771A60">
        <w:rPr>
          <w:rStyle w:val="FootnoteReference"/>
        </w:rPr>
        <w:footnoteReference w:id="6"/>
      </w:r>
      <w:r w:rsidR="004B4AA5">
        <w:t xml:space="preserve">  So</w:t>
      </w:r>
      <w:r>
        <w:t xml:space="preserve"> the main point, it seems to me, is to focus on each student as a divine work in progress and to help </w:t>
      </w:r>
      <w:r w:rsidR="009E200B">
        <w:t>all</w:t>
      </w:r>
      <w:r>
        <w:t xml:space="preserve"> student</w:t>
      </w:r>
      <w:r w:rsidR="009E200B">
        <w:t>s unleash their</w:t>
      </w:r>
      <w:r>
        <w:t xml:space="preserve"> God-ordained </w:t>
      </w:r>
      <w:r w:rsidR="0026799E">
        <w:t>calling</w:t>
      </w:r>
      <w:r>
        <w:t xml:space="preserve"> through thorough preparation of their minds, hearts, and hands (in fact, all aspects of their selfhood</w:t>
      </w:r>
      <w:r w:rsidR="008F7CEA">
        <w:t>, including the</w:t>
      </w:r>
      <w:r w:rsidR="00BA570E">
        <w:t>:  “intellectual, moral, and creative,”</w:t>
      </w:r>
      <w:r w:rsidR="00BE2DD8">
        <w:rPr>
          <w:rStyle w:val="FootnoteReference"/>
        </w:rPr>
        <w:footnoteReference w:id="7"/>
      </w:r>
      <w:r w:rsidR="00BA570E">
        <w:t xml:space="preserve"> according to </w:t>
      </w:r>
      <w:r w:rsidR="004628D5">
        <w:t>Beversluis, 1971</w:t>
      </w:r>
      <w:r>
        <w:t xml:space="preserve">).  </w:t>
      </w:r>
    </w:p>
    <w:p w14:paraId="3147B7A3" w14:textId="75FF801D" w:rsidR="00127B13" w:rsidRDefault="003F6783" w:rsidP="003F6783">
      <w:r>
        <w:t xml:space="preserve">This </w:t>
      </w:r>
      <w:r w:rsidR="004B4AA5">
        <w:t xml:space="preserve">final </w:t>
      </w:r>
      <w:r w:rsidR="0072795F">
        <w:t>frame</w:t>
      </w:r>
      <w:r>
        <w:t>, in my mind, provides the most thoroughly biblical framework for helping the student discover, h</w:t>
      </w:r>
      <w:r w:rsidR="00BF5A9F">
        <w:t xml:space="preserve">one, and use the Spirit’s gifts </w:t>
      </w:r>
      <w:r>
        <w:t>an</w:t>
      </w:r>
      <w:r w:rsidR="006010C6">
        <w:t>d callings</w:t>
      </w:r>
      <w:r>
        <w:t>.  T</w:t>
      </w:r>
      <w:r w:rsidR="004B0840">
        <w:t xml:space="preserve">his view </w:t>
      </w:r>
      <w:r w:rsidR="00BA570E">
        <w:t>acknowledges the diversity of persons and callings in God’</w:t>
      </w:r>
      <w:r>
        <w:t>s world and</w:t>
      </w:r>
      <w:r w:rsidR="00BA570E">
        <w:t xml:space="preserve"> </w:t>
      </w:r>
      <w:r>
        <w:t xml:space="preserve">points the way toward the freeing of the mind and spirit to be what God has created each student to be.  </w:t>
      </w:r>
      <w:r w:rsidRPr="003F6783">
        <w:t>What we’re describing here is really part of the process of sanctification, which is a life-long process</w:t>
      </w:r>
      <w:r w:rsidR="00BF5A9F">
        <w:t>.  B</w:t>
      </w:r>
      <w:r w:rsidRPr="003F6783">
        <w:t xml:space="preserve">ut </w:t>
      </w:r>
      <w:r w:rsidR="00BF5A9F">
        <w:t xml:space="preserve">if </w:t>
      </w:r>
      <w:r w:rsidRPr="003F6783">
        <w:t xml:space="preserve">we </w:t>
      </w:r>
      <w:r w:rsidR="00BF5A9F">
        <w:t xml:space="preserve">can </w:t>
      </w:r>
      <w:r w:rsidRPr="003F6783">
        <w:t xml:space="preserve">see students </w:t>
      </w:r>
      <w:r w:rsidR="0072795F">
        <w:t>as</w:t>
      </w:r>
      <w:r w:rsidRPr="003F6783">
        <w:t xml:space="preserve"> </w:t>
      </w:r>
      <w:r w:rsidR="006010C6">
        <w:t>God’s team players</w:t>
      </w:r>
      <w:r w:rsidRPr="003F6783">
        <w:t xml:space="preserve"> embarking on the process</w:t>
      </w:r>
      <w:r w:rsidR="00BF5A9F">
        <w:t xml:space="preserve">, then we’ll also </w:t>
      </w:r>
      <w:r w:rsidRPr="003F6783">
        <w:t xml:space="preserve">help them see themselves that way too.  </w:t>
      </w:r>
    </w:p>
    <w:p w14:paraId="19176E47" w14:textId="77777777" w:rsidR="00EB4DDB" w:rsidRDefault="00EB4DDB" w:rsidP="003F6783"/>
    <w:p w14:paraId="32EE5A28" w14:textId="4D2BBA5E" w:rsidR="00EB4DDB" w:rsidRDefault="00EB4DDB" w:rsidP="003F6783">
      <w:r>
        <w:t xml:space="preserve">With what do you agree?   Disagree?  Questions?  </w:t>
      </w:r>
    </w:p>
    <w:sectPr w:rsidR="00EB4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E27F" w14:textId="77777777" w:rsidR="00991DC4" w:rsidRDefault="00991DC4" w:rsidP="00013A0F">
      <w:pPr>
        <w:spacing w:after="0" w:line="240" w:lineRule="auto"/>
      </w:pPr>
      <w:r>
        <w:separator/>
      </w:r>
    </w:p>
  </w:endnote>
  <w:endnote w:type="continuationSeparator" w:id="0">
    <w:p w14:paraId="1880CC64" w14:textId="77777777" w:rsidR="00991DC4" w:rsidRDefault="00991DC4" w:rsidP="0001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6568"/>
      <w:docPartObj>
        <w:docPartGallery w:val="Page Numbers (Bottom of Page)"/>
        <w:docPartUnique/>
      </w:docPartObj>
    </w:sdtPr>
    <w:sdtEndPr>
      <w:rPr>
        <w:noProof/>
      </w:rPr>
    </w:sdtEndPr>
    <w:sdtContent>
      <w:p w14:paraId="6A4C235B" w14:textId="2F7DBA8F" w:rsidR="00E7579E" w:rsidRDefault="00E7579E">
        <w:pPr>
          <w:pStyle w:val="Footer"/>
          <w:jc w:val="right"/>
        </w:pPr>
        <w:r>
          <w:fldChar w:fldCharType="begin"/>
        </w:r>
        <w:r>
          <w:instrText xml:space="preserve"> PAGE   \* MERGEFORMAT </w:instrText>
        </w:r>
        <w:r>
          <w:fldChar w:fldCharType="separate"/>
        </w:r>
        <w:r w:rsidR="00991DC4">
          <w:rPr>
            <w:noProof/>
          </w:rPr>
          <w:t>1</w:t>
        </w:r>
        <w:r>
          <w:rPr>
            <w:noProof/>
          </w:rPr>
          <w:fldChar w:fldCharType="end"/>
        </w:r>
      </w:p>
    </w:sdtContent>
  </w:sdt>
  <w:p w14:paraId="43FAC191" w14:textId="77777777" w:rsidR="00E7579E" w:rsidRDefault="00E7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E6287" w14:textId="77777777" w:rsidR="00991DC4" w:rsidRDefault="00991DC4" w:rsidP="00013A0F">
      <w:pPr>
        <w:spacing w:after="0" w:line="240" w:lineRule="auto"/>
      </w:pPr>
      <w:r>
        <w:separator/>
      </w:r>
    </w:p>
  </w:footnote>
  <w:footnote w:type="continuationSeparator" w:id="0">
    <w:p w14:paraId="1EA2B0D7" w14:textId="77777777" w:rsidR="00991DC4" w:rsidRDefault="00991DC4" w:rsidP="00013A0F">
      <w:pPr>
        <w:spacing w:after="0" w:line="240" w:lineRule="auto"/>
      </w:pPr>
      <w:r>
        <w:continuationSeparator/>
      </w:r>
    </w:p>
  </w:footnote>
  <w:footnote w:id="1">
    <w:p w14:paraId="392EC2F4" w14:textId="77777777" w:rsidR="00013A0F" w:rsidRDefault="00013A0F">
      <w:pPr>
        <w:pStyle w:val="FootnoteText"/>
      </w:pPr>
      <w:r>
        <w:rPr>
          <w:rStyle w:val="FootnoteReference"/>
        </w:rPr>
        <w:footnoteRef/>
      </w:r>
      <w:r>
        <w:t xml:space="preserve"> I’m thinking of humanism, existentialism, progressivism, behaviorism, and other results of Western Enlightenment cosmology.  </w:t>
      </w:r>
    </w:p>
  </w:footnote>
  <w:footnote w:id="2">
    <w:p w14:paraId="51F9E23B" w14:textId="77777777" w:rsidR="00013A0F" w:rsidRDefault="00013A0F">
      <w:pPr>
        <w:pStyle w:val="FootnoteText"/>
      </w:pPr>
      <w:r>
        <w:rPr>
          <w:rStyle w:val="FootnoteReference"/>
        </w:rPr>
        <w:footnoteRef/>
      </w:r>
      <w:r>
        <w:t xml:space="preserve">For example, perennialism and essentialism; see G. Knight, </w:t>
      </w:r>
      <w:r w:rsidRPr="00BA3A8D">
        <w:rPr>
          <w:i/>
        </w:rPr>
        <w:t>Philosophy and education:  An introduction in Christian perspective</w:t>
      </w:r>
      <w:r>
        <w:t>.  Berrien Springs, MI:  Andrews University Press, 2006.</w:t>
      </w:r>
    </w:p>
  </w:footnote>
  <w:footnote w:id="3">
    <w:p w14:paraId="5B2DE1FA" w14:textId="77777777" w:rsidR="0020342E" w:rsidRDefault="0020342E" w:rsidP="0020342E">
      <w:pPr>
        <w:pStyle w:val="FootnoteText"/>
      </w:pPr>
      <w:r>
        <w:rPr>
          <w:rStyle w:val="FootnoteReference"/>
        </w:rPr>
        <w:footnoteRef/>
      </w:r>
      <w:r>
        <w:t xml:space="preserve">B. Coloroso,  </w:t>
      </w:r>
      <w:r w:rsidRPr="00BA3A8D">
        <w:rPr>
          <w:i/>
        </w:rPr>
        <w:t>Winning at teaching without beating your kids</w:t>
      </w:r>
      <w:r>
        <w:t xml:space="preserve"> (videotape).  Littleton, CO:  Kids Are Worth It, 1990.</w:t>
      </w:r>
    </w:p>
  </w:footnote>
  <w:footnote w:id="4">
    <w:p w14:paraId="5CFE63FE" w14:textId="7DBAF7F0" w:rsidR="00771A60" w:rsidRDefault="00771A60" w:rsidP="007F3D19">
      <w:pPr>
        <w:ind w:left="720" w:hanging="720"/>
      </w:pPr>
      <w:r>
        <w:rPr>
          <w:rStyle w:val="FootnoteReference"/>
        </w:rPr>
        <w:footnoteRef/>
      </w:r>
      <w:r w:rsidR="008F7CEA">
        <w:t xml:space="preserve"> Constructivists</w:t>
      </w:r>
      <w:r>
        <w:t xml:space="preserve"> </w:t>
      </w:r>
      <w:r w:rsidR="008F7CEA">
        <w:t>would talk about this as “scaffolding”; see</w:t>
      </w:r>
      <w:r w:rsidR="0020342E">
        <w:t xml:space="preserve"> Vygotsky, </w:t>
      </w:r>
      <w:r w:rsidRPr="0072795F">
        <w:rPr>
          <w:i/>
        </w:rPr>
        <w:t>Thought and language</w:t>
      </w:r>
      <w:r>
        <w:t xml:space="preserve"> </w:t>
      </w:r>
      <w:r w:rsidR="008F7CEA">
        <w:t>(C</w:t>
      </w:r>
      <w:r>
        <w:t>ambridge, MA:  Harvard University Press, 1962</w:t>
      </w:r>
      <w:r w:rsidR="008F7CEA">
        <w:t>)</w:t>
      </w:r>
      <w:r>
        <w:t>.</w:t>
      </w:r>
    </w:p>
  </w:footnote>
  <w:footnote w:id="5">
    <w:p w14:paraId="3E636193" w14:textId="3891F1C5" w:rsidR="00771A60" w:rsidRDefault="00771A60" w:rsidP="007F3D19">
      <w:pPr>
        <w:ind w:left="720" w:hanging="720"/>
      </w:pPr>
      <w:r>
        <w:rPr>
          <w:rStyle w:val="FootnoteReference"/>
        </w:rPr>
        <w:footnoteRef/>
      </w:r>
      <w:r>
        <w:t xml:space="preserve"> As Nicolas Wolterstorff discusses at length in </w:t>
      </w:r>
      <w:r w:rsidRPr="00BA3A8D">
        <w:rPr>
          <w:i/>
        </w:rPr>
        <w:t>Educating for responsible action</w:t>
      </w:r>
      <w:r>
        <w:t xml:space="preserve"> (Grand Rapids, MI: Eerdmans, 1980), and </w:t>
      </w:r>
      <w:r w:rsidRPr="00BA3A8D">
        <w:rPr>
          <w:i/>
        </w:rPr>
        <w:t>Educating for shalom</w:t>
      </w:r>
      <w:r>
        <w:t xml:space="preserve"> (Grand Rapids, MI:  Eerdmans, 2004).  </w:t>
      </w:r>
    </w:p>
  </w:footnote>
  <w:footnote w:id="6">
    <w:p w14:paraId="05A313D5" w14:textId="4BFAE5C2" w:rsidR="00771A60" w:rsidRDefault="00771A60">
      <w:pPr>
        <w:pStyle w:val="FootnoteText"/>
      </w:pPr>
      <w:r>
        <w:rPr>
          <w:rStyle w:val="FootnoteReference"/>
        </w:rPr>
        <w:footnoteRef/>
      </w:r>
      <w:r>
        <w:t xml:space="preserve"> Smith, </w:t>
      </w:r>
      <w:r w:rsidRPr="00BA3A8D">
        <w:rPr>
          <w:i/>
        </w:rPr>
        <w:t>Desiring the kingdom:  Worship, worldview, and cultural formation</w:t>
      </w:r>
      <w:r>
        <w:t xml:space="preserve"> (Grand Rapids, MI:  Baker Academic, 2009).</w:t>
      </w:r>
    </w:p>
  </w:footnote>
  <w:footnote w:id="7">
    <w:p w14:paraId="5C3C742C" w14:textId="791191C1" w:rsidR="00BE2DD8" w:rsidRDefault="00BE2DD8" w:rsidP="00BE2DD8">
      <w:pPr>
        <w:ind w:left="720" w:hanging="720"/>
      </w:pPr>
      <w:r>
        <w:rPr>
          <w:rStyle w:val="FootnoteReference"/>
        </w:rPr>
        <w:footnoteRef/>
      </w:r>
      <w:r>
        <w:t xml:space="preserve"> See N. Beversluis, </w:t>
      </w:r>
      <w:r w:rsidRPr="00BA3A8D">
        <w:rPr>
          <w:i/>
        </w:rPr>
        <w:t>Christian philosophy of education</w:t>
      </w:r>
      <w:r>
        <w:t xml:space="preserve"> (Grand Rapids, MI:  National Union of Christian Schools, 1971). </w:t>
      </w:r>
    </w:p>
    <w:p w14:paraId="164192C1" w14:textId="77777777" w:rsidR="00BE2DD8" w:rsidRDefault="00BE2DD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33416"/>
    <w:multiLevelType w:val="hybridMultilevel"/>
    <w:tmpl w:val="018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C64BB"/>
    <w:multiLevelType w:val="hybridMultilevel"/>
    <w:tmpl w:val="57304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EF"/>
    <w:rsid w:val="00013A0F"/>
    <w:rsid w:val="00030AE0"/>
    <w:rsid w:val="00085C9C"/>
    <w:rsid w:val="00117970"/>
    <w:rsid w:val="00123F76"/>
    <w:rsid w:val="00127B13"/>
    <w:rsid w:val="0014242F"/>
    <w:rsid w:val="00184C5D"/>
    <w:rsid w:val="0020342E"/>
    <w:rsid w:val="00220D4A"/>
    <w:rsid w:val="00263C4B"/>
    <w:rsid w:val="0026799E"/>
    <w:rsid w:val="00275BF0"/>
    <w:rsid w:val="00297A72"/>
    <w:rsid w:val="002B4AD7"/>
    <w:rsid w:val="002B53AD"/>
    <w:rsid w:val="00323286"/>
    <w:rsid w:val="003705C6"/>
    <w:rsid w:val="003F6783"/>
    <w:rsid w:val="00462684"/>
    <w:rsid w:val="004628D5"/>
    <w:rsid w:val="004B0840"/>
    <w:rsid w:val="004B37F6"/>
    <w:rsid w:val="004B4AA5"/>
    <w:rsid w:val="004F7AA9"/>
    <w:rsid w:val="005168C8"/>
    <w:rsid w:val="005D7CEA"/>
    <w:rsid w:val="005E1BFF"/>
    <w:rsid w:val="006010C6"/>
    <w:rsid w:val="00611AE1"/>
    <w:rsid w:val="006517FE"/>
    <w:rsid w:val="006704E5"/>
    <w:rsid w:val="006A3EEC"/>
    <w:rsid w:val="006A5338"/>
    <w:rsid w:val="006A772F"/>
    <w:rsid w:val="0072795F"/>
    <w:rsid w:val="00743FAE"/>
    <w:rsid w:val="00771A60"/>
    <w:rsid w:val="007F3D19"/>
    <w:rsid w:val="0084424C"/>
    <w:rsid w:val="00865366"/>
    <w:rsid w:val="00885425"/>
    <w:rsid w:val="0089306E"/>
    <w:rsid w:val="008F07C2"/>
    <w:rsid w:val="008F7CEA"/>
    <w:rsid w:val="00935B9E"/>
    <w:rsid w:val="00950A3B"/>
    <w:rsid w:val="009836B8"/>
    <w:rsid w:val="00991DC4"/>
    <w:rsid w:val="009E200B"/>
    <w:rsid w:val="00A66745"/>
    <w:rsid w:val="00AB5533"/>
    <w:rsid w:val="00AB73EC"/>
    <w:rsid w:val="00AC2406"/>
    <w:rsid w:val="00B24350"/>
    <w:rsid w:val="00B90738"/>
    <w:rsid w:val="00B9621F"/>
    <w:rsid w:val="00BA3A8D"/>
    <w:rsid w:val="00BA570E"/>
    <w:rsid w:val="00BB6A50"/>
    <w:rsid w:val="00BE2DD8"/>
    <w:rsid w:val="00BF5A9F"/>
    <w:rsid w:val="00C33830"/>
    <w:rsid w:val="00D34940"/>
    <w:rsid w:val="00D500E1"/>
    <w:rsid w:val="00D60698"/>
    <w:rsid w:val="00D824EF"/>
    <w:rsid w:val="00E21B8B"/>
    <w:rsid w:val="00E7579E"/>
    <w:rsid w:val="00EB4DDB"/>
    <w:rsid w:val="00F02D38"/>
    <w:rsid w:val="00F040D5"/>
    <w:rsid w:val="00F345AF"/>
    <w:rsid w:val="00F4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0A81F"/>
  <w15:docId w15:val="{814F6D1B-E9A8-4DD6-A734-CAD28C04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EF"/>
    <w:pPr>
      <w:ind w:left="720"/>
      <w:contextualSpacing/>
    </w:pPr>
  </w:style>
  <w:style w:type="paragraph" w:styleId="BalloonText">
    <w:name w:val="Balloon Text"/>
    <w:basedOn w:val="Normal"/>
    <w:link w:val="BalloonTextChar"/>
    <w:uiPriority w:val="99"/>
    <w:semiHidden/>
    <w:unhideWhenUsed/>
    <w:rsid w:val="00142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2F"/>
    <w:rPr>
      <w:rFonts w:ascii="Segoe UI" w:hAnsi="Segoe UI" w:cs="Segoe UI"/>
      <w:sz w:val="18"/>
      <w:szCs w:val="18"/>
    </w:rPr>
  </w:style>
  <w:style w:type="paragraph" w:styleId="FootnoteText">
    <w:name w:val="footnote text"/>
    <w:basedOn w:val="Normal"/>
    <w:link w:val="FootnoteTextChar"/>
    <w:uiPriority w:val="99"/>
    <w:semiHidden/>
    <w:unhideWhenUsed/>
    <w:rsid w:val="00013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A0F"/>
    <w:rPr>
      <w:sz w:val="20"/>
      <w:szCs w:val="20"/>
    </w:rPr>
  </w:style>
  <w:style w:type="character" w:styleId="FootnoteReference">
    <w:name w:val="footnote reference"/>
    <w:basedOn w:val="DefaultParagraphFont"/>
    <w:uiPriority w:val="99"/>
    <w:semiHidden/>
    <w:unhideWhenUsed/>
    <w:rsid w:val="00013A0F"/>
    <w:rPr>
      <w:vertAlign w:val="superscript"/>
    </w:rPr>
  </w:style>
  <w:style w:type="character" w:styleId="CommentReference">
    <w:name w:val="annotation reference"/>
    <w:basedOn w:val="DefaultParagraphFont"/>
    <w:uiPriority w:val="99"/>
    <w:semiHidden/>
    <w:unhideWhenUsed/>
    <w:rsid w:val="00013A0F"/>
    <w:rPr>
      <w:sz w:val="16"/>
      <w:szCs w:val="16"/>
    </w:rPr>
  </w:style>
  <w:style w:type="paragraph" w:styleId="CommentText">
    <w:name w:val="annotation text"/>
    <w:basedOn w:val="Normal"/>
    <w:link w:val="CommentTextChar"/>
    <w:uiPriority w:val="99"/>
    <w:semiHidden/>
    <w:unhideWhenUsed/>
    <w:rsid w:val="00013A0F"/>
    <w:pPr>
      <w:spacing w:line="240" w:lineRule="auto"/>
    </w:pPr>
    <w:rPr>
      <w:sz w:val="20"/>
      <w:szCs w:val="20"/>
    </w:rPr>
  </w:style>
  <w:style w:type="character" w:customStyle="1" w:styleId="CommentTextChar">
    <w:name w:val="Comment Text Char"/>
    <w:basedOn w:val="DefaultParagraphFont"/>
    <w:link w:val="CommentText"/>
    <w:uiPriority w:val="99"/>
    <w:semiHidden/>
    <w:rsid w:val="00013A0F"/>
    <w:rPr>
      <w:sz w:val="20"/>
      <w:szCs w:val="20"/>
    </w:rPr>
  </w:style>
  <w:style w:type="paragraph" w:styleId="CommentSubject">
    <w:name w:val="annotation subject"/>
    <w:basedOn w:val="CommentText"/>
    <w:next w:val="CommentText"/>
    <w:link w:val="CommentSubjectChar"/>
    <w:uiPriority w:val="99"/>
    <w:semiHidden/>
    <w:unhideWhenUsed/>
    <w:rsid w:val="00013A0F"/>
    <w:rPr>
      <w:b/>
      <w:bCs/>
    </w:rPr>
  </w:style>
  <w:style w:type="character" w:customStyle="1" w:styleId="CommentSubjectChar">
    <w:name w:val="Comment Subject Char"/>
    <w:basedOn w:val="CommentTextChar"/>
    <w:link w:val="CommentSubject"/>
    <w:uiPriority w:val="99"/>
    <w:semiHidden/>
    <w:rsid w:val="00013A0F"/>
    <w:rPr>
      <w:b/>
      <w:bCs/>
      <w:sz w:val="20"/>
      <w:szCs w:val="20"/>
    </w:rPr>
  </w:style>
  <w:style w:type="paragraph" w:styleId="Revision">
    <w:name w:val="Revision"/>
    <w:hidden/>
    <w:uiPriority w:val="99"/>
    <w:semiHidden/>
    <w:rsid w:val="00220D4A"/>
    <w:pPr>
      <w:spacing w:after="0" w:line="240" w:lineRule="auto"/>
    </w:pPr>
  </w:style>
  <w:style w:type="paragraph" w:styleId="Header">
    <w:name w:val="header"/>
    <w:basedOn w:val="Normal"/>
    <w:link w:val="HeaderChar"/>
    <w:uiPriority w:val="99"/>
    <w:unhideWhenUsed/>
    <w:rsid w:val="00E7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9E"/>
  </w:style>
  <w:style w:type="paragraph" w:styleId="Footer">
    <w:name w:val="footer"/>
    <w:basedOn w:val="Normal"/>
    <w:link w:val="FooterChar"/>
    <w:uiPriority w:val="99"/>
    <w:unhideWhenUsed/>
    <w:rsid w:val="00E7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F220-E2F1-428F-95E2-85E923D2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Holtrop</dc:creator>
  <cp:keywords/>
  <dc:description/>
  <cp:lastModifiedBy>Steve Holtrop</cp:lastModifiedBy>
  <cp:revision>7</cp:revision>
  <dcterms:created xsi:type="dcterms:W3CDTF">2016-03-16T23:29:00Z</dcterms:created>
  <dcterms:modified xsi:type="dcterms:W3CDTF">2016-03-17T22:33:00Z</dcterms:modified>
</cp:coreProperties>
</file>